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Ayuntamiento, DGT y Circuito preparan el dispositivo de transporte público de cara al Gran Premio de España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4 de abril de 2022.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Este martes se celebra la Junta Local de Seguridad en la que se abordarán los diferentes dispositivos previstos para Semana Santa, el Gran Premio de España de Motociclismo y la Feria del Caballo. En los días previos se han mantenido diferentes reuniones para analizar propuestas para algunos de los aspectos que se abordarán en la Junta Local.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En este sentido, el delegado de Seguridad y Movilidad, Rubén Pérez, se ha reunido con la Jefa de la Dirección General de Tráfico en Cádiz, Ana Cobos, y técnicos tanto del Ayuntamiento como de la DGT, agentes de la Guardia Civil de Tráfico y del Policía Local, representantes de Protección Civil y del propio Circuito de Jerez.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En este encuentro se ha abordado la planificación del transporte urbano con la mejora de la lanzadera entre la ciudad y el circuito buscando la máxima eficacia y eficiencia del autobús y que se convierta en el principal medio de transporte de ida y de vuelta para el público que se acerca al Circuito de Jerez para disfrutar del Gran premio de España de Motociclismo 2022.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En este primer encuentro se estudiaron las diferentes alternativas de conexión y de paradas para los autobuses que se habilitarán como lanzadera para las jornadas de viernes, sábado y domingo. Se han estudiado algunos cambios para que el público asistente ven en los autobuses urbanos de Jerez una forma fiable, rápida, cómoda y segura  tanto para ir al trazado jerezano como para volver a la ciudad. 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Aspectos como itinerarios, ubicación de las paradas o frecuencia de paso se han ido abordando en esta reunión para una optimización del servicio público de transporte. 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tbl>
      <w:tblPr>
        <w:tblW w:w="7663" w:type="dxa"/>
        <w:jc w:val="left"/>
        <w:tblInd w:w="4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>
    <w:name w:val="Definition Term"/>
    <w:basedOn w:val="Normal"/>
    <w:qFormat/>
    <w:pPr/>
    <w:rPr/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H1">
    <w:name w:val="H1"/>
    <w:basedOn w:val="Normal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"/>
    <w:qFormat/>
    <w:pPr/>
    <w:rPr>
      <w:i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Application>LibreOffice/7.2.5.2$Windows_X86_64 LibreOffice_project/499f9727c189e6ef3471021d6132d4c694f357e5</Application>
  <AppVersion>15.0000</AppVersion>
  <Pages>1</Pages>
  <Words>297</Words>
  <Characters>1465</Characters>
  <CharactersWithSpaces>1759</CharactersWithSpaces>
  <Paragraphs>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2022-04-04T12:42:09Z</dcterms:modified>
  <cp:revision>221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